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75F" w:rsidRDefault="00733857" w:rsidP="00B94C7A">
      <w:pPr>
        <w:spacing w:after="0" w:line="240" w:lineRule="auto"/>
        <w:jc w:val="center"/>
        <w:rPr>
          <w:rFonts w:ascii="Times New Roman" w:hAnsi="Times New Roman" w:cs="Times New Roman"/>
          <w:b/>
        </w:rPr>
      </w:pPr>
      <w:r w:rsidRPr="0030575F">
        <w:rPr>
          <w:rFonts w:ascii="Times New Roman" w:hAnsi="Times New Roman" w:cs="Times New Roman"/>
          <w:b/>
        </w:rPr>
        <w:t xml:space="preserve">TEXTO APROBADO EN LA COMISIÓN PRIMERA DE LA HONORABLE CÁMARA DE REPRESENTANTES EN PRIMER DEBATE </w:t>
      </w:r>
    </w:p>
    <w:p w:rsidR="00B94C7A" w:rsidRPr="0030575F" w:rsidRDefault="00733857" w:rsidP="00B94C7A">
      <w:pPr>
        <w:spacing w:after="0" w:line="240" w:lineRule="auto"/>
        <w:jc w:val="center"/>
        <w:rPr>
          <w:rFonts w:ascii="Times New Roman" w:hAnsi="Times New Roman" w:cs="Times New Roman"/>
          <w:b/>
          <w:lang w:bidi="es-CO"/>
        </w:rPr>
      </w:pPr>
      <w:r w:rsidRPr="0030575F">
        <w:rPr>
          <w:rFonts w:ascii="Times New Roman" w:hAnsi="Times New Roman" w:cs="Times New Roman"/>
          <w:b/>
        </w:rPr>
        <w:t xml:space="preserve">DEL </w:t>
      </w:r>
      <w:r w:rsidRPr="0030575F">
        <w:rPr>
          <w:rFonts w:ascii="Times New Roman" w:hAnsi="Times New Roman" w:cs="Times New Roman"/>
          <w:b/>
          <w:lang w:bidi="es-CO"/>
        </w:rPr>
        <w:t xml:space="preserve">PROYECTO DE LEY ORGÁNICA No. </w:t>
      </w:r>
      <w:r w:rsidRPr="0030575F">
        <w:rPr>
          <w:rFonts w:ascii="Times New Roman" w:eastAsia="Work Sans" w:hAnsi="Times New Roman" w:cs="Times New Roman"/>
          <w:b/>
          <w:color w:val="000000"/>
        </w:rPr>
        <w:t>156 DE 2024 CÁMARA</w:t>
      </w:r>
    </w:p>
    <w:p w:rsidR="00B94C7A" w:rsidRPr="0030575F" w:rsidRDefault="00733857" w:rsidP="00B94C7A">
      <w:pPr>
        <w:shd w:val="clear" w:color="auto" w:fill="FFFFFF"/>
        <w:jc w:val="center"/>
        <w:rPr>
          <w:rFonts w:ascii="Times New Roman" w:eastAsia="Work Sans" w:hAnsi="Times New Roman" w:cs="Times New Roman"/>
        </w:rPr>
      </w:pPr>
      <w:r w:rsidRPr="0030575F">
        <w:rPr>
          <w:rFonts w:ascii="Times New Roman" w:eastAsia="Work Sans" w:hAnsi="Times New Roman" w:cs="Times New Roman"/>
          <w:b/>
          <w:color w:val="000000"/>
        </w:rPr>
        <w:t>“POR MEDIO DEL CUAL RECONOCE LA EXPERIENCIA PROFESIONAL A LOS MIEMBROS DE LAS UNIDADES DE TRABAJO LEGISLATIVO”</w:t>
      </w:r>
    </w:p>
    <w:p w:rsidR="00B94C7A" w:rsidRPr="0030575F" w:rsidRDefault="00733857" w:rsidP="00B94C7A">
      <w:pPr>
        <w:shd w:val="clear" w:color="auto" w:fill="FFFFFF"/>
        <w:jc w:val="center"/>
        <w:rPr>
          <w:rFonts w:ascii="Times New Roman" w:eastAsia="Work Sans" w:hAnsi="Times New Roman" w:cs="Times New Roman"/>
          <w:b/>
        </w:rPr>
      </w:pPr>
      <w:r w:rsidRPr="0030575F">
        <w:rPr>
          <w:rFonts w:ascii="Times New Roman" w:eastAsia="Work Sans" w:hAnsi="Times New Roman" w:cs="Times New Roman"/>
          <w:b/>
          <w:color w:val="000000"/>
        </w:rPr>
        <w:t> </w:t>
      </w:r>
    </w:p>
    <w:p w:rsidR="00B94C7A" w:rsidRPr="0030575F" w:rsidRDefault="00733857" w:rsidP="00B94C7A">
      <w:pPr>
        <w:ind w:left="700"/>
        <w:jc w:val="center"/>
        <w:rPr>
          <w:rFonts w:ascii="Times New Roman" w:eastAsia="Work Sans" w:hAnsi="Times New Roman" w:cs="Times New Roman"/>
          <w:b/>
          <w:color w:val="000000"/>
        </w:rPr>
      </w:pPr>
      <w:r w:rsidRPr="0030575F">
        <w:rPr>
          <w:rFonts w:ascii="Times New Roman" w:eastAsia="Work Sans" w:hAnsi="Times New Roman" w:cs="Times New Roman"/>
          <w:b/>
          <w:color w:val="000000"/>
        </w:rPr>
        <w:t>EL CONGRESO DE LA REPÚBLICA DE COLOMBIA</w:t>
      </w:r>
    </w:p>
    <w:p w:rsidR="00B94C7A" w:rsidRPr="0030575F" w:rsidRDefault="0030575F" w:rsidP="0030575F">
      <w:pPr>
        <w:ind w:left="700"/>
        <w:rPr>
          <w:rFonts w:ascii="Times New Roman" w:eastAsia="Work Sans" w:hAnsi="Times New Roman" w:cs="Times New Roman"/>
          <w:b/>
          <w:color w:val="000000"/>
        </w:rPr>
      </w:pPr>
      <w:r>
        <w:rPr>
          <w:rFonts w:ascii="Times New Roman" w:eastAsia="Work Sans" w:hAnsi="Times New Roman" w:cs="Times New Roman"/>
          <w:b/>
          <w:color w:val="000000"/>
        </w:rPr>
        <w:t xml:space="preserve">                                                          </w:t>
      </w:r>
      <w:r w:rsidR="00733857" w:rsidRPr="0030575F">
        <w:rPr>
          <w:rFonts w:ascii="Times New Roman" w:eastAsia="Work Sans" w:hAnsi="Times New Roman" w:cs="Times New Roman"/>
          <w:b/>
          <w:color w:val="000000"/>
        </w:rPr>
        <w:t>DECRETA:</w:t>
      </w:r>
    </w:p>
    <w:p w:rsidR="00B94C7A" w:rsidRPr="0030575F" w:rsidRDefault="00B94C7A" w:rsidP="00B94C7A">
      <w:pPr>
        <w:jc w:val="center"/>
        <w:rPr>
          <w:rFonts w:eastAsia="Bookman Old Style" w:cstheme="minorHAnsi"/>
        </w:rPr>
      </w:pPr>
    </w:p>
    <w:p w:rsidR="00B94C7A" w:rsidRDefault="00B94C7A" w:rsidP="00B94C7A">
      <w:pPr>
        <w:jc w:val="both"/>
        <w:rPr>
          <w:rFonts w:ascii="Work Sans" w:eastAsia="Work Sans" w:hAnsi="Work Sans" w:cs="Work Sans"/>
        </w:rPr>
      </w:pPr>
      <w:r w:rsidRPr="0030575F">
        <w:rPr>
          <w:rFonts w:eastAsia="Work Sans" w:cstheme="minorHAnsi"/>
          <w:b/>
          <w:color w:val="000000"/>
        </w:rPr>
        <w:t>ART</w:t>
      </w:r>
      <w:r>
        <w:rPr>
          <w:rFonts w:ascii="Work Sans" w:eastAsia="Work Sans" w:hAnsi="Work Sans" w:cs="Work Sans"/>
          <w:b/>
          <w:color w:val="000000"/>
        </w:rPr>
        <w:t xml:space="preserve">ÍCULO 1. Objeto. </w:t>
      </w:r>
      <w:r>
        <w:rPr>
          <w:rFonts w:ascii="Work Sans" w:eastAsia="Work Sans" w:hAnsi="Work Sans" w:cs="Work Sans"/>
          <w:color w:val="000000"/>
        </w:rPr>
        <w:t>Modificar la nomenclatura de los cargos de las Unidades de Trabajo Legislativo para reconocer la experiencia profesional a los empleados y contratistas pertenecientes a ellas.</w:t>
      </w:r>
    </w:p>
    <w:p w:rsidR="0030575F" w:rsidRDefault="00B94C7A" w:rsidP="00B94C7A">
      <w:pPr>
        <w:jc w:val="both"/>
        <w:rPr>
          <w:rFonts w:ascii="Work Sans" w:eastAsia="Work Sans" w:hAnsi="Work Sans" w:cs="Work Sans"/>
          <w:color w:val="000000"/>
        </w:rPr>
      </w:pPr>
      <w:r>
        <w:rPr>
          <w:rFonts w:ascii="Work Sans" w:eastAsia="Work Sans" w:hAnsi="Work Sans" w:cs="Work Sans"/>
          <w:color w:val="000000"/>
        </w:rPr>
        <w:t> </w:t>
      </w:r>
    </w:p>
    <w:p w:rsidR="00B94C7A" w:rsidRDefault="00B94C7A" w:rsidP="00B94C7A">
      <w:pPr>
        <w:jc w:val="both"/>
        <w:rPr>
          <w:rFonts w:ascii="Work Sans" w:eastAsia="Work Sans" w:hAnsi="Work Sans" w:cs="Work Sans"/>
        </w:rPr>
      </w:pPr>
      <w:r>
        <w:rPr>
          <w:rFonts w:ascii="Work Sans" w:eastAsia="Work Sans" w:hAnsi="Work Sans" w:cs="Work Sans"/>
          <w:b/>
          <w:color w:val="000000"/>
        </w:rPr>
        <w:t>ARTÍCULO 2.</w:t>
      </w:r>
      <w:r>
        <w:rPr>
          <w:rFonts w:ascii="Work Sans" w:eastAsia="Work Sans" w:hAnsi="Work Sans" w:cs="Work Sans"/>
          <w:color w:val="000000"/>
        </w:rPr>
        <w:t xml:space="preserve"> Modifíquese el artículo 388 de la Ley 5 de 1992 el cual quedará así:</w:t>
      </w:r>
    </w:p>
    <w:p w:rsidR="00B94C7A" w:rsidRDefault="00B94C7A" w:rsidP="00D70EAA">
      <w:pPr>
        <w:ind w:left="700" w:firstLine="5"/>
        <w:jc w:val="both"/>
        <w:rPr>
          <w:rFonts w:ascii="Work Sans" w:eastAsia="Work Sans" w:hAnsi="Work Sans" w:cs="Work Sans"/>
        </w:rPr>
      </w:pPr>
      <w:r>
        <w:rPr>
          <w:rFonts w:ascii="Work Sans" w:eastAsia="Work Sans" w:hAnsi="Work Sans" w:cs="Work Sans"/>
          <w:b/>
          <w:color w:val="000000"/>
        </w:rPr>
        <w:t>Artículo 388. Unidad de trabajo legislativo de los Congresistas.</w:t>
      </w:r>
      <w:r>
        <w:rPr>
          <w:rFonts w:ascii="Work Sans" w:eastAsia="Work Sans" w:hAnsi="Work Sans" w:cs="Work Sans"/>
          <w:color w:val="000000"/>
        </w:rPr>
        <w:t xml:space="preserve"> Cada Congresista contará, para el logro de una eficiente labor legislativa, con una Unidad de Trabajo a su servicio, integrada por no más de 10 empleados y/o contratistas. Para la provisión de estos cargos cada Congresista </w:t>
      </w:r>
      <w:r w:rsidR="00E97AA7">
        <w:rPr>
          <w:rFonts w:ascii="Work Sans" w:eastAsia="Work Sans" w:hAnsi="Work Sans" w:cs="Work Sans"/>
          <w:color w:val="000000"/>
        </w:rPr>
        <w:t>postulará, ante el D</w:t>
      </w:r>
      <w:r>
        <w:rPr>
          <w:rFonts w:ascii="Work Sans" w:eastAsia="Work Sans" w:hAnsi="Work Sans" w:cs="Work Sans"/>
          <w:color w:val="000000"/>
        </w:rPr>
        <w:t>irector Administrativo, en el caso de la Cámara y ante el Director General o quien haga sus veces, en el caso del Senado, el respectivo candidato para su libre nombramiento y remoción o para su vinculación por</w:t>
      </w:r>
      <w:r>
        <w:rPr>
          <w:rFonts w:ascii="Work Sans" w:eastAsia="Work Sans" w:hAnsi="Work Sans" w:cs="Work Sans"/>
        </w:rPr>
        <w:t xml:space="preserve"> contrato</w:t>
      </w:r>
      <w:r>
        <w:rPr>
          <w:rFonts w:ascii="Work Sans" w:eastAsia="Work Sans" w:hAnsi="Work Sans" w:cs="Work Sans"/>
          <w:color w:val="000000"/>
        </w:rPr>
        <w:t>.</w:t>
      </w:r>
    </w:p>
    <w:p w:rsidR="00B94C7A" w:rsidRDefault="00B94C7A" w:rsidP="0030575F">
      <w:pPr>
        <w:spacing w:after="120" w:line="240" w:lineRule="auto"/>
        <w:ind w:left="700" w:firstLine="5"/>
        <w:jc w:val="both"/>
        <w:rPr>
          <w:rFonts w:ascii="Work Sans" w:eastAsia="Work Sans" w:hAnsi="Work Sans" w:cs="Work Sans"/>
        </w:rPr>
      </w:pPr>
      <w:r>
        <w:rPr>
          <w:rFonts w:ascii="Work Sans" w:eastAsia="Work Sans" w:hAnsi="Work Sans" w:cs="Work Sans"/>
          <w:color w:val="000000"/>
        </w:rPr>
        <w:t>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50 salarios mínim</w:t>
      </w:r>
      <w:r w:rsidR="00301F2B">
        <w:rPr>
          <w:rFonts w:ascii="Work Sans" w:eastAsia="Work Sans" w:hAnsi="Work Sans" w:cs="Work Sans"/>
          <w:color w:val="000000"/>
        </w:rPr>
        <w:t>os legales mensuales para cada U</w:t>
      </w:r>
      <w:r>
        <w:rPr>
          <w:rFonts w:ascii="Work Sans" w:eastAsia="Work Sans" w:hAnsi="Work Sans" w:cs="Work Sans"/>
          <w:color w:val="000000"/>
        </w:rPr>
        <w:t>nidad.</w:t>
      </w:r>
    </w:p>
    <w:p w:rsidR="00B94C7A" w:rsidRDefault="0030575F" w:rsidP="0030575F">
      <w:pPr>
        <w:spacing w:after="120" w:line="240" w:lineRule="auto"/>
        <w:ind w:left="700" w:firstLine="5"/>
        <w:jc w:val="both"/>
        <w:rPr>
          <w:rFonts w:ascii="Work Sans" w:eastAsia="Work Sans" w:hAnsi="Work Sans" w:cs="Work Sans"/>
          <w:color w:val="000000"/>
        </w:rPr>
      </w:pPr>
      <w:r>
        <w:rPr>
          <w:rFonts w:ascii="Work Sans" w:eastAsia="Work Sans" w:hAnsi="Work Sans" w:cs="Work Sans"/>
          <w:color w:val="000000"/>
        </w:rPr>
        <w:t>L</w:t>
      </w:r>
      <w:r w:rsidR="00B94C7A">
        <w:rPr>
          <w:rFonts w:ascii="Work Sans" w:eastAsia="Work Sans" w:hAnsi="Work Sans" w:cs="Work Sans"/>
          <w:color w:val="000000"/>
        </w:rPr>
        <w:t>os cargos de la Unidad de Trabajo Legislativo de los Congresistas tendrán la siguiente nomenclatura y escala de remuneración:</w:t>
      </w:r>
    </w:p>
    <w:p w:rsidR="00AD0404" w:rsidRDefault="00AD0404" w:rsidP="0030575F">
      <w:pPr>
        <w:spacing w:after="120" w:line="240" w:lineRule="auto"/>
        <w:ind w:left="700" w:firstLine="5"/>
        <w:jc w:val="both"/>
        <w:rPr>
          <w:rFonts w:ascii="Work Sans" w:eastAsia="Work Sans" w:hAnsi="Work Sans" w:cs="Work Sans"/>
        </w:rPr>
      </w:pPr>
    </w:p>
    <w:tbl>
      <w:tblPr>
        <w:tblW w:w="5752" w:type="dxa"/>
        <w:jc w:val="center"/>
        <w:tblLayout w:type="fixed"/>
        <w:tblLook w:val="0400" w:firstRow="0" w:lastRow="0" w:firstColumn="0" w:lastColumn="0" w:noHBand="0" w:noVBand="1"/>
      </w:tblPr>
      <w:tblGrid>
        <w:gridCol w:w="2443"/>
        <w:gridCol w:w="3309"/>
      </w:tblGrid>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  </w:t>
            </w:r>
            <w:r>
              <w:rPr>
                <w:rFonts w:ascii="Work Sans" w:eastAsia="Work Sans" w:hAnsi="Work Sans" w:cs="Work Sans"/>
                <w:b/>
                <w:color w:val="000000"/>
              </w:rPr>
              <w:t>Denominación</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b/>
                <w:color w:val="000000"/>
              </w:rPr>
              <w:t>Salarios Mínimos</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Asistente 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B94C7A">
            <w:pPr>
              <w:jc w:val="both"/>
              <w:rPr>
                <w:rFonts w:ascii="Work Sans" w:eastAsia="Work Sans" w:hAnsi="Work Sans" w:cs="Work Sans"/>
              </w:rPr>
            </w:pPr>
            <w:r>
              <w:rPr>
                <w:rFonts w:ascii="Work Sans" w:eastAsia="Work Sans" w:hAnsi="Work Sans" w:cs="Work Sans"/>
                <w:color w:val="000000"/>
              </w:rPr>
              <w:t>Dos (2)</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Asistente 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B94C7A">
            <w:pPr>
              <w:jc w:val="both"/>
              <w:rPr>
                <w:rFonts w:ascii="Work Sans" w:eastAsia="Work Sans" w:hAnsi="Work Sans" w:cs="Work Sans"/>
              </w:rPr>
            </w:pPr>
            <w:r>
              <w:rPr>
                <w:rFonts w:ascii="Work Sans" w:eastAsia="Work Sans" w:hAnsi="Work Sans" w:cs="Work Sans"/>
                <w:color w:val="000000"/>
              </w:rPr>
              <w:t>Tres (3)</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Asistente III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B94C7A">
            <w:pPr>
              <w:jc w:val="both"/>
              <w:rPr>
                <w:rFonts w:ascii="Work Sans" w:eastAsia="Work Sans" w:hAnsi="Work Sans" w:cs="Work Sans"/>
              </w:rPr>
            </w:pPr>
            <w:r>
              <w:rPr>
                <w:rFonts w:ascii="Work Sans" w:eastAsia="Work Sans" w:hAnsi="Work Sans" w:cs="Work Sans"/>
                <w:color w:val="000000"/>
              </w:rPr>
              <w:t>Cuatro (4)</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Asistente IV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Cinco (5)</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Asistente 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B94C7A">
            <w:pPr>
              <w:jc w:val="both"/>
              <w:rPr>
                <w:rFonts w:ascii="Work Sans" w:eastAsia="Work Sans" w:hAnsi="Work Sans" w:cs="Work Sans"/>
              </w:rPr>
            </w:pPr>
            <w:r>
              <w:rPr>
                <w:rFonts w:ascii="Work Sans" w:eastAsia="Work Sans" w:hAnsi="Work Sans" w:cs="Work Sans"/>
                <w:color w:val="000000"/>
              </w:rPr>
              <w:t>Seis (6)</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color w:val="000000"/>
              </w:rPr>
            </w:pPr>
            <w:r>
              <w:rPr>
                <w:rFonts w:ascii="Work Sans" w:eastAsia="Work Sans" w:hAnsi="Work Sans" w:cs="Work Sans"/>
                <w:color w:val="000000"/>
              </w:rPr>
              <w:t xml:space="preserve">Asistente VI </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B94C7A">
            <w:pPr>
              <w:jc w:val="both"/>
              <w:rPr>
                <w:rFonts w:ascii="Work Sans" w:eastAsia="Work Sans" w:hAnsi="Work Sans" w:cs="Work Sans"/>
                <w:color w:val="000000"/>
              </w:rPr>
            </w:pPr>
            <w:r>
              <w:rPr>
                <w:rFonts w:ascii="Work Sans" w:eastAsia="Work Sans" w:hAnsi="Work Sans" w:cs="Work Sans"/>
                <w:color w:val="000000"/>
              </w:rPr>
              <w:t>Siete (7)</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lastRenderedPageBreak/>
              <w:t>Profesional 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B94C7A">
            <w:pPr>
              <w:jc w:val="both"/>
              <w:rPr>
                <w:rFonts w:ascii="Work Sans" w:eastAsia="Work Sans" w:hAnsi="Work Sans" w:cs="Work Sans"/>
              </w:rPr>
            </w:pPr>
            <w:r>
              <w:rPr>
                <w:rFonts w:ascii="Work Sans" w:eastAsia="Work Sans" w:hAnsi="Work Sans" w:cs="Work Sans"/>
                <w:color w:val="000000"/>
              </w:rPr>
              <w:t>Cuatro (4)</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Profesional 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Cinco (5)</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Profesional III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Seis (6)</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Profesional IV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Siete (7)</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Asesor 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Ocho (8)</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Asesor 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Nueve (9)</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Asesor III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Diez (10)</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Asesor IV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Once (11)</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Asesor V</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Doce (12)</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Asesor VI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Trece (13)</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Asesor VII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Catorce (14)</w:t>
            </w:r>
          </w:p>
        </w:tc>
      </w:tr>
      <w:tr w:rsidR="00B94C7A" w:rsidTr="00C336CE">
        <w:trPr>
          <w:trHeight w:val="393"/>
          <w:jc w:val="center"/>
        </w:trPr>
        <w:tc>
          <w:tcPr>
            <w:tcW w:w="2443"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Asesor VIII</w:t>
            </w:r>
          </w:p>
        </w:tc>
        <w:tc>
          <w:tcPr>
            <w:tcW w:w="3309" w:type="dxa"/>
            <w:tcBorders>
              <w:top w:val="single" w:sz="6" w:space="0" w:color="000000"/>
              <w:left w:val="single" w:sz="6" w:space="0" w:color="000000"/>
              <w:bottom w:val="single" w:sz="6" w:space="0" w:color="000000"/>
              <w:right w:val="single" w:sz="6" w:space="0" w:color="000000"/>
            </w:tcBorders>
            <w:shd w:val="clear" w:color="auto" w:fill="FFFFFF"/>
          </w:tcPr>
          <w:p w:rsidR="00B94C7A" w:rsidRDefault="00B94C7A" w:rsidP="00C336CE">
            <w:pPr>
              <w:jc w:val="both"/>
              <w:rPr>
                <w:rFonts w:ascii="Work Sans" w:eastAsia="Work Sans" w:hAnsi="Work Sans" w:cs="Work Sans"/>
              </w:rPr>
            </w:pPr>
            <w:r>
              <w:rPr>
                <w:rFonts w:ascii="Work Sans" w:eastAsia="Work Sans" w:hAnsi="Work Sans" w:cs="Work Sans"/>
                <w:color w:val="000000"/>
              </w:rPr>
              <w:t>Quince (15)</w:t>
            </w:r>
          </w:p>
        </w:tc>
      </w:tr>
    </w:tbl>
    <w:p w:rsidR="00B94C7A" w:rsidRDefault="00B94C7A" w:rsidP="00B94C7A">
      <w:pPr>
        <w:jc w:val="both"/>
        <w:rPr>
          <w:rFonts w:ascii="Work Sans" w:eastAsia="Work Sans" w:hAnsi="Work Sans" w:cs="Work Sans"/>
        </w:rPr>
      </w:pPr>
      <w:r>
        <w:rPr>
          <w:rFonts w:ascii="Work Sans" w:eastAsia="Work Sans" w:hAnsi="Work Sans" w:cs="Work Sans"/>
          <w:color w:val="000000"/>
        </w:rPr>
        <w:t> </w:t>
      </w:r>
    </w:p>
    <w:p w:rsidR="00B94C7A" w:rsidRDefault="00B94C7A" w:rsidP="00B94C7A">
      <w:pPr>
        <w:ind w:left="700"/>
        <w:jc w:val="both"/>
        <w:rPr>
          <w:rFonts w:ascii="Work Sans" w:eastAsia="Work Sans" w:hAnsi="Work Sans" w:cs="Work Sans"/>
        </w:rPr>
      </w:pPr>
      <w:r>
        <w:rPr>
          <w:rFonts w:ascii="Work Sans" w:eastAsia="Work Sans" w:hAnsi="Work Sans" w:cs="Work Sans"/>
          <w:color w:val="000000"/>
        </w:rPr>
        <w:t>La certificación de cumplimiento de labores de los empleados y/o contratistas de la Unidad de Trabajo Legislativo, será expedida por el respectivo Congresista.</w:t>
      </w:r>
    </w:p>
    <w:p w:rsidR="00B94C7A" w:rsidRDefault="00B94C7A" w:rsidP="0030575F">
      <w:pPr>
        <w:ind w:left="700" w:firstLine="5"/>
        <w:jc w:val="both"/>
        <w:rPr>
          <w:rFonts w:ascii="Work Sans" w:eastAsia="Work Sans" w:hAnsi="Work Sans" w:cs="Work Sans"/>
        </w:rPr>
      </w:pPr>
      <w:r>
        <w:rPr>
          <w:rFonts w:ascii="Work Sans" w:eastAsia="Work Sans" w:hAnsi="Work Sans" w:cs="Work Sans"/>
          <w:b/>
          <w:color w:val="000000"/>
        </w:rPr>
        <w:t>PARÁGRAFO</w:t>
      </w:r>
      <w:r w:rsidR="009B2DD3">
        <w:rPr>
          <w:rFonts w:ascii="Work Sans" w:eastAsia="Work Sans" w:hAnsi="Work Sans" w:cs="Work Sans"/>
          <w:b/>
          <w:color w:val="000000"/>
        </w:rPr>
        <w:t xml:space="preserve"> 1</w:t>
      </w:r>
      <w:r>
        <w:rPr>
          <w:rFonts w:ascii="Work Sans" w:eastAsia="Work Sans" w:hAnsi="Work Sans" w:cs="Work Sans"/>
          <w:b/>
          <w:color w:val="000000"/>
        </w:rPr>
        <w:t>.</w:t>
      </w:r>
      <w:r>
        <w:rPr>
          <w:rFonts w:ascii="Work Sans" w:eastAsia="Work Sans" w:hAnsi="Work Sans" w:cs="Work Sans"/>
          <w:color w:val="000000"/>
        </w:rPr>
        <w:t xml:space="preserve">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w:t>
      </w:r>
    </w:p>
    <w:p w:rsidR="00B94C7A" w:rsidRDefault="00B94C7A" w:rsidP="0030575F">
      <w:pPr>
        <w:ind w:left="700" w:firstLine="5"/>
        <w:jc w:val="both"/>
        <w:rPr>
          <w:rFonts w:ascii="Work Sans" w:eastAsia="Work Sans" w:hAnsi="Work Sans" w:cs="Work Sans"/>
        </w:rPr>
      </w:pPr>
      <w:r>
        <w:rPr>
          <w:rFonts w:ascii="Work Sans" w:eastAsia="Work Sans" w:hAnsi="Work Sans" w:cs="Work Sans"/>
          <w:color w:val="000000"/>
        </w:rPr>
        <w:t>En el evento de vinculación mediante contrato de prestación de servicios, no se considerarán prestaciones sociales en el valor del contrato celebrado, ni habrá lugar al reconocimiento o reclamación de ellas.</w:t>
      </w:r>
    </w:p>
    <w:p w:rsidR="00B94C7A" w:rsidRDefault="00B94C7A" w:rsidP="0030575F">
      <w:pPr>
        <w:ind w:left="700" w:firstLine="5"/>
        <w:jc w:val="both"/>
        <w:rPr>
          <w:rFonts w:ascii="Work Sans" w:eastAsia="Work Sans" w:hAnsi="Work Sans" w:cs="Work Sans"/>
          <w:color w:val="000000"/>
        </w:rPr>
      </w:pPr>
      <w:r>
        <w:rPr>
          <w:rFonts w:ascii="Work Sans" w:eastAsia="Work Sans" w:hAnsi="Work Sans" w:cs="Work Sans"/>
          <w:color w:val="000000"/>
        </w:rPr>
        <w:t>Las calidades para ser asesor serán definidas mediante resolución de la Mesa Directiva de la Cámara y de la Comisión de Administración del Senado, conjuntamente.</w:t>
      </w:r>
    </w:p>
    <w:p w:rsidR="009B2DD3" w:rsidRDefault="009B2DD3" w:rsidP="00B94C7A">
      <w:pPr>
        <w:ind w:left="700"/>
        <w:jc w:val="both"/>
        <w:rPr>
          <w:rFonts w:ascii="Work Sans" w:eastAsia="Work Sans" w:hAnsi="Work Sans" w:cs="Work Sans"/>
          <w:color w:val="000000"/>
        </w:rPr>
      </w:pPr>
      <w:r w:rsidRPr="00C336CE">
        <w:rPr>
          <w:rFonts w:ascii="Work Sans" w:eastAsia="Work Sans" w:hAnsi="Work Sans" w:cs="Work Sans"/>
          <w:b/>
          <w:color w:val="000000"/>
        </w:rPr>
        <w:t xml:space="preserve">PARÁGRAFO 2. </w:t>
      </w:r>
      <w:r>
        <w:rPr>
          <w:rFonts w:ascii="Work Sans" w:eastAsia="Work Sans" w:hAnsi="Work Sans" w:cs="Work Sans"/>
          <w:color w:val="000000"/>
        </w:rPr>
        <w:t>L</w:t>
      </w:r>
      <w:r w:rsidR="00C336CE">
        <w:rPr>
          <w:rFonts w:ascii="Work Sans" w:eastAsia="Work Sans" w:hAnsi="Work Sans" w:cs="Work Sans"/>
          <w:color w:val="000000"/>
        </w:rPr>
        <w:t xml:space="preserve">os funcionarios de las </w:t>
      </w:r>
      <w:r>
        <w:rPr>
          <w:rFonts w:ascii="Work Sans" w:eastAsia="Work Sans" w:hAnsi="Work Sans" w:cs="Work Sans"/>
          <w:color w:val="000000"/>
        </w:rPr>
        <w:t xml:space="preserve">Unidades de Trabajo Legislativo podrán prestar sus funciones por fuera de la ciudad de Bogotá de conformidad con las necesidades y requerimientos de los Congresistas para el cumplimiento de sus funciones </w:t>
      </w:r>
      <w:proofErr w:type="spellStart"/>
      <w:r>
        <w:rPr>
          <w:rFonts w:ascii="Work Sans" w:eastAsia="Work Sans" w:hAnsi="Work Sans" w:cs="Work Sans"/>
          <w:color w:val="000000"/>
        </w:rPr>
        <w:t>congresionales</w:t>
      </w:r>
      <w:proofErr w:type="spellEnd"/>
      <w:r w:rsidR="00C336CE">
        <w:rPr>
          <w:rFonts w:ascii="Work Sans" w:eastAsia="Work Sans" w:hAnsi="Work Sans" w:cs="Work Sans"/>
          <w:color w:val="000000"/>
        </w:rPr>
        <w:t>.</w:t>
      </w:r>
    </w:p>
    <w:p w:rsidR="009B2DD3" w:rsidRDefault="009B2DD3" w:rsidP="00B94C7A">
      <w:pPr>
        <w:ind w:left="700"/>
        <w:jc w:val="both"/>
        <w:rPr>
          <w:rFonts w:ascii="Work Sans" w:eastAsia="Work Sans" w:hAnsi="Work Sans" w:cs="Work Sans"/>
        </w:rPr>
      </w:pPr>
      <w:r w:rsidRPr="00C336CE">
        <w:rPr>
          <w:rFonts w:ascii="Work Sans" w:eastAsia="Work Sans" w:hAnsi="Work Sans" w:cs="Work Sans"/>
          <w:b/>
          <w:color w:val="000000"/>
        </w:rPr>
        <w:t>PARÁGRAFO TRANSITORIO.</w:t>
      </w:r>
      <w:r>
        <w:rPr>
          <w:rFonts w:ascii="Work Sans" w:eastAsia="Work Sans" w:hAnsi="Work Sans" w:cs="Work Sans"/>
          <w:color w:val="000000"/>
        </w:rPr>
        <w:t xml:space="preserve"> Los cargos denominados Asistentes IV, V </w:t>
      </w:r>
      <w:r w:rsidR="00C336CE">
        <w:rPr>
          <w:rFonts w:ascii="Work Sans" w:eastAsia="Work Sans" w:hAnsi="Work Sans" w:cs="Work Sans"/>
          <w:color w:val="000000"/>
        </w:rPr>
        <w:t>y</w:t>
      </w:r>
      <w:r>
        <w:rPr>
          <w:rFonts w:ascii="Work Sans" w:eastAsia="Work Sans" w:hAnsi="Work Sans" w:cs="Work Sans"/>
          <w:color w:val="000000"/>
        </w:rPr>
        <w:t xml:space="preserve"> VI dejarán de existir de manera progresiva, conforme al siguiente periodo de transición: el cargo de Asistente VI se suprimirá a más tardar el 31 de diciembre de 2026; el de Asistente V, el 31 de diciembre de 2027; y el de Asistente IV, el 31 de diciembre de 202</w:t>
      </w:r>
      <w:r w:rsidR="00D64196">
        <w:rPr>
          <w:rFonts w:ascii="Work Sans" w:eastAsia="Work Sans" w:hAnsi="Work Sans" w:cs="Work Sans"/>
          <w:color w:val="000000"/>
        </w:rPr>
        <w:t>8. Las personas vinculadas bajo</w:t>
      </w:r>
      <w:bookmarkStart w:id="0" w:name="_GoBack"/>
      <w:bookmarkEnd w:id="0"/>
      <w:r>
        <w:rPr>
          <w:rFonts w:ascii="Work Sans" w:eastAsia="Work Sans" w:hAnsi="Work Sans" w:cs="Work Sans"/>
          <w:color w:val="000000"/>
        </w:rPr>
        <w:t xml:space="preserve"> estas denominaciones antes de las fechas establecidas conservarán sus derechos laborales hasta la finalización de su relación contractual.</w:t>
      </w:r>
    </w:p>
    <w:p w:rsidR="00B94C7A" w:rsidRDefault="00B94C7A" w:rsidP="00B94C7A">
      <w:pPr>
        <w:ind w:right="760"/>
        <w:jc w:val="both"/>
        <w:rPr>
          <w:rFonts w:ascii="Work Sans" w:eastAsia="Work Sans" w:hAnsi="Work Sans" w:cs="Work Sans"/>
        </w:rPr>
      </w:pPr>
      <w:r>
        <w:rPr>
          <w:rFonts w:ascii="Work Sans" w:eastAsia="Work Sans" w:hAnsi="Work Sans" w:cs="Work Sans"/>
          <w:b/>
          <w:color w:val="000000"/>
        </w:rPr>
        <w:t> </w:t>
      </w:r>
    </w:p>
    <w:p w:rsidR="00B94C7A" w:rsidRDefault="00B94C7A" w:rsidP="00B94C7A">
      <w:pPr>
        <w:ind w:right="760"/>
        <w:jc w:val="both"/>
        <w:rPr>
          <w:rFonts w:ascii="Work Sans" w:eastAsia="Work Sans" w:hAnsi="Work Sans" w:cs="Work Sans"/>
        </w:rPr>
      </w:pPr>
      <w:r>
        <w:rPr>
          <w:rFonts w:ascii="Work Sans" w:eastAsia="Work Sans" w:hAnsi="Work Sans" w:cs="Work Sans"/>
          <w:b/>
          <w:color w:val="000000"/>
        </w:rPr>
        <w:lastRenderedPageBreak/>
        <w:t xml:space="preserve">ARTÍCULO 3. </w:t>
      </w:r>
      <w:r>
        <w:rPr>
          <w:rFonts w:ascii="Work Sans" w:eastAsia="Work Sans" w:hAnsi="Work Sans" w:cs="Work Sans"/>
          <w:color w:val="000000"/>
        </w:rPr>
        <w:t>Inclúyase un parágrafo transitorio al artículo 388 de la Ley 5 de 1992.</w:t>
      </w:r>
    </w:p>
    <w:p w:rsidR="00B94C7A" w:rsidRDefault="00B94C7A" w:rsidP="00B94C7A">
      <w:pPr>
        <w:ind w:left="700" w:right="760"/>
        <w:jc w:val="both"/>
        <w:rPr>
          <w:rFonts w:ascii="Work Sans" w:eastAsia="Work Sans" w:hAnsi="Work Sans" w:cs="Work Sans"/>
        </w:rPr>
      </w:pPr>
      <w:r>
        <w:rPr>
          <w:rFonts w:ascii="Work Sans" w:eastAsia="Work Sans" w:hAnsi="Work Sans" w:cs="Work Sans"/>
          <w:b/>
          <w:color w:val="000000"/>
        </w:rPr>
        <w:t xml:space="preserve">PARÁGRAFO TRANSITORIO. </w:t>
      </w:r>
      <w:r>
        <w:rPr>
          <w:rFonts w:ascii="Work Sans" w:eastAsia="Work Sans" w:hAnsi="Work Sans" w:cs="Work Sans"/>
          <w:color w:val="000000"/>
        </w:rPr>
        <w:t xml:space="preserve">La dirección administrativa de la Cámara de Representantes y del Senado de la República en un plazo de seis (6) meses </w:t>
      </w:r>
      <w:r>
        <w:rPr>
          <w:rFonts w:ascii="Work Sans" w:eastAsia="Work Sans" w:hAnsi="Work Sans" w:cs="Work Sans"/>
        </w:rPr>
        <w:t>actualizará</w:t>
      </w:r>
      <w:r>
        <w:rPr>
          <w:rFonts w:ascii="Work Sans" w:eastAsia="Work Sans" w:hAnsi="Work Sans" w:cs="Work Sans"/>
          <w:color w:val="000000"/>
        </w:rPr>
        <w:t xml:space="preserve"> el manual de funciones de acuerdo con la nomenclatura definida para los cargos de la Unidad de Trabajo Legislativo de los Congresistas previstos en el presente artículo.</w:t>
      </w:r>
    </w:p>
    <w:p w:rsidR="00B94C7A" w:rsidRDefault="00B94C7A" w:rsidP="00B94C7A">
      <w:pPr>
        <w:ind w:left="700" w:right="760"/>
        <w:jc w:val="both"/>
        <w:rPr>
          <w:rFonts w:ascii="Work Sans" w:eastAsia="Work Sans" w:hAnsi="Work Sans" w:cs="Work Sans"/>
        </w:rPr>
      </w:pPr>
      <w:r>
        <w:rPr>
          <w:rFonts w:ascii="Work Sans" w:eastAsia="Work Sans" w:hAnsi="Work Sans" w:cs="Work Sans"/>
          <w:color w:val="000000"/>
        </w:rPr>
        <w:t>Para todos los efectos, la denominación de nivel profesional tendrá como requisito mínimo la obtención de un título profesional en cualquiera de las áreas de conocimiento de conformidad con el manual de funciones expedido.</w:t>
      </w:r>
    </w:p>
    <w:p w:rsidR="0030575F" w:rsidRDefault="00B94C7A" w:rsidP="0030575F">
      <w:pPr>
        <w:rPr>
          <w:rFonts w:ascii="Work Sans" w:eastAsia="Work Sans" w:hAnsi="Work Sans" w:cs="Work Sans"/>
          <w:color w:val="333333"/>
        </w:rPr>
      </w:pPr>
      <w:r>
        <w:rPr>
          <w:rFonts w:ascii="Work Sans" w:eastAsia="Work Sans" w:hAnsi="Work Sans" w:cs="Work Sans"/>
          <w:color w:val="333333"/>
          <w:highlight w:val="white"/>
        </w:rPr>
        <w:t> </w:t>
      </w:r>
    </w:p>
    <w:p w:rsidR="00B94C7A" w:rsidRDefault="00B94C7A" w:rsidP="00D70EAA">
      <w:pPr>
        <w:jc w:val="both"/>
        <w:rPr>
          <w:rFonts w:ascii="Work Sans" w:eastAsia="Work Sans" w:hAnsi="Work Sans" w:cs="Work Sans"/>
        </w:rPr>
      </w:pPr>
      <w:r>
        <w:rPr>
          <w:rFonts w:ascii="Work Sans" w:eastAsia="Work Sans" w:hAnsi="Work Sans" w:cs="Work Sans"/>
          <w:b/>
          <w:color w:val="000000"/>
        </w:rPr>
        <w:t xml:space="preserve">ARTÍCULO 4. Transición. </w:t>
      </w:r>
      <w:r>
        <w:rPr>
          <w:rFonts w:ascii="Work Sans" w:eastAsia="Work Sans" w:hAnsi="Work Sans" w:cs="Work Sans"/>
          <w:color w:val="000000"/>
        </w:rPr>
        <w:t>Los funcionarios y/o contratistas de las Unidades de Trabajo Legislativo que cumplan los requisitos contemplados por la presente ley podrán solicitar ante la Dirección Administrativa de la respectiva cámara la modificación de la nomenclatura del cargo, previa verificación del cumplimiento de los requisitos de acuerdo con el manual de funciones de la entidad.</w:t>
      </w:r>
    </w:p>
    <w:p w:rsidR="00B94C7A" w:rsidRPr="00B94C7A" w:rsidRDefault="00B94C7A" w:rsidP="00D70EAA">
      <w:pPr>
        <w:jc w:val="both"/>
        <w:rPr>
          <w:rFonts w:ascii="Work Sans" w:eastAsia="Work Sans" w:hAnsi="Work Sans" w:cs="Work Sans"/>
          <w:color w:val="000000"/>
        </w:rPr>
      </w:pPr>
      <w:r w:rsidRPr="00B94C7A">
        <w:rPr>
          <w:rFonts w:ascii="Work Sans" w:eastAsia="Work Sans" w:hAnsi="Work Sans" w:cs="Work Sans"/>
          <w:color w:val="000000"/>
        </w:rPr>
        <w:t>Mientras se surte el proceso de verificación y ajuste, se garantizará la continuidad en la vinculación de los solicitantes bajo las condiciones contractuales o laborales previamente establecidas.</w:t>
      </w:r>
    </w:p>
    <w:p w:rsidR="00B94C7A" w:rsidRDefault="00B94C7A" w:rsidP="00D70EAA">
      <w:pPr>
        <w:jc w:val="both"/>
        <w:rPr>
          <w:rFonts w:ascii="Work Sans" w:eastAsia="Work Sans" w:hAnsi="Work Sans" w:cs="Work Sans"/>
        </w:rPr>
      </w:pPr>
      <w:r>
        <w:rPr>
          <w:rFonts w:ascii="Work Sans" w:eastAsia="Work Sans" w:hAnsi="Work Sans" w:cs="Work Sans"/>
          <w:b/>
          <w:color w:val="000000"/>
        </w:rPr>
        <w:t xml:space="preserve">PARÁGRAFO. </w:t>
      </w:r>
      <w:r>
        <w:rPr>
          <w:rFonts w:ascii="Work Sans" w:eastAsia="Work Sans" w:hAnsi="Work Sans" w:cs="Work Sans"/>
          <w:color w:val="000000"/>
        </w:rPr>
        <w:t>Para efectos de verificación de experiencia profesional, se reconocerán las prácticas profesionales y judicaturas en los términos previstos por la Ley.</w:t>
      </w:r>
      <w:r>
        <w:rPr>
          <w:rFonts w:ascii="Work Sans" w:eastAsia="Work Sans" w:hAnsi="Work Sans" w:cs="Work Sans"/>
          <w:b/>
          <w:color w:val="000000"/>
        </w:rPr>
        <w:t> </w:t>
      </w:r>
    </w:p>
    <w:p w:rsidR="00B94C7A" w:rsidRDefault="00B94C7A" w:rsidP="00D70EAA">
      <w:pPr>
        <w:jc w:val="both"/>
        <w:rPr>
          <w:rFonts w:ascii="Work Sans" w:eastAsia="Work Sans" w:hAnsi="Work Sans" w:cs="Work Sans"/>
        </w:rPr>
      </w:pPr>
      <w:r>
        <w:rPr>
          <w:rFonts w:ascii="Work Sans" w:eastAsia="Work Sans" w:hAnsi="Work Sans" w:cs="Work Sans"/>
          <w:b/>
          <w:color w:val="000000"/>
        </w:rPr>
        <w:t> </w:t>
      </w:r>
    </w:p>
    <w:p w:rsidR="00B94C7A" w:rsidRDefault="00B94C7A" w:rsidP="00B94C7A">
      <w:pPr>
        <w:jc w:val="both"/>
        <w:rPr>
          <w:rFonts w:ascii="Work Sans" w:eastAsia="Work Sans" w:hAnsi="Work Sans" w:cs="Work Sans"/>
        </w:rPr>
      </w:pPr>
      <w:r>
        <w:rPr>
          <w:rFonts w:ascii="Work Sans" w:eastAsia="Work Sans" w:hAnsi="Work Sans" w:cs="Work Sans"/>
          <w:b/>
          <w:color w:val="000000"/>
        </w:rPr>
        <w:t>ARTÍCULO 5. Vigencia.</w:t>
      </w:r>
      <w:r>
        <w:rPr>
          <w:rFonts w:ascii="Work Sans" w:eastAsia="Work Sans" w:hAnsi="Work Sans" w:cs="Work Sans"/>
          <w:color w:val="000000"/>
        </w:rPr>
        <w:t xml:space="preserve"> La presente ley rige a partir del 20 de julio de 2026 y deroga las demás disposiciones que le sean contrarias.</w:t>
      </w:r>
    </w:p>
    <w:p w:rsidR="00D25E1A" w:rsidRPr="008D602F" w:rsidRDefault="00D25E1A" w:rsidP="00BF6F6B">
      <w:pPr>
        <w:spacing w:after="0" w:line="240" w:lineRule="auto"/>
        <w:jc w:val="center"/>
        <w:rPr>
          <w:rFonts w:ascii="Arial" w:hAnsi="Arial" w:cs="Arial"/>
          <w:b/>
          <w:sz w:val="24"/>
          <w:szCs w:val="24"/>
          <w:lang w:bidi="es-CO"/>
        </w:rPr>
      </w:pPr>
    </w:p>
    <w:p w:rsidR="00C7658D" w:rsidRPr="00B94C7A" w:rsidRDefault="00C7658D" w:rsidP="00C7658D">
      <w:pPr>
        <w:tabs>
          <w:tab w:val="left" w:pos="4820"/>
        </w:tabs>
        <w:spacing w:after="0" w:line="240" w:lineRule="auto"/>
        <w:jc w:val="both"/>
        <w:rPr>
          <w:rFonts w:ascii="Times New Roman" w:eastAsia="Century Gothic" w:hAnsi="Times New Roman" w:cs="Times New Roman"/>
          <w:sz w:val="24"/>
          <w:szCs w:val="24"/>
          <w:highlight w:val="white"/>
        </w:rPr>
      </w:pPr>
      <w:r w:rsidRPr="00B94C7A">
        <w:rPr>
          <w:rFonts w:ascii="Times New Roman" w:eastAsia="Century Gothic" w:hAnsi="Times New Roman" w:cs="Times New Roman"/>
          <w:sz w:val="24"/>
          <w:szCs w:val="24"/>
          <w:highlight w:val="white"/>
        </w:rPr>
        <w:t xml:space="preserve">En los anteriores términos fue aprobado </w:t>
      </w:r>
      <w:r w:rsidR="00D06595" w:rsidRPr="00B94C7A">
        <w:rPr>
          <w:rFonts w:ascii="Times New Roman" w:eastAsia="Century Gothic" w:hAnsi="Times New Roman" w:cs="Times New Roman"/>
          <w:sz w:val="24"/>
          <w:szCs w:val="24"/>
          <w:highlight w:val="white"/>
        </w:rPr>
        <w:t>co</w:t>
      </w:r>
      <w:r w:rsidRPr="00B94C7A">
        <w:rPr>
          <w:rFonts w:ascii="Times New Roman" w:eastAsia="Century Gothic" w:hAnsi="Times New Roman" w:cs="Times New Roman"/>
          <w:sz w:val="24"/>
          <w:szCs w:val="24"/>
          <w:highlight w:val="white"/>
        </w:rPr>
        <w:t>n modificaciones en primer debate el presente Proyecto de Ley</w:t>
      </w:r>
      <w:r w:rsidR="00FC5293" w:rsidRPr="00B94C7A">
        <w:rPr>
          <w:rFonts w:ascii="Times New Roman" w:eastAsia="Century Gothic" w:hAnsi="Times New Roman" w:cs="Times New Roman"/>
          <w:sz w:val="24"/>
          <w:szCs w:val="24"/>
          <w:highlight w:val="white"/>
        </w:rPr>
        <w:t xml:space="preserve"> Orgánica</w:t>
      </w:r>
      <w:r w:rsidRPr="00B94C7A">
        <w:rPr>
          <w:rFonts w:ascii="Times New Roman" w:eastAsia="Century Gothic" w:hAnsi="Times New Roman" w:cs="Times New Roman"/>
          <w:sz w:val="24"/>
          <w:szCs w:val="24"/>
          <w:highlight w:val="white"/>
        </w:rPr>
        <w:t xml:space="preserve">, según consta en el Acta No. </w:t>
      </w:r>
      <w:r w:rsidR="00733857">
        <w:rPr>
          <w:rFonts w:ascii="Times New Roman" w:eastAsia="Century Gothic" w:hAnsi="Times New Roman" w:cs="Times New Roman"/>
          <w:sz w:val="24"/>
          <w:szCs w:val="24"/>
          <w:highlight w:val="white"/>
        </w:rPr>
        <w:t xml:space="preserve">49 de sesión del 26 de </w:t>
      </w:r>
      <w:proofErr w:type="gramStart"/>
      <w:r w:rsidR="00733857">
        <w:rPr>
          <w:rFonts w:ascii="Times New Roman" w:eastAsia="Century Gothic" w:hAnsi="Times New Roman" w:cs="Times New Roman"/>
          <w:sz w:val="24"/>
          <w:szCs w:val="24"/>
          <w:highlight w:val="white"/>
        </w:rPr>
        <w:t>Mayo</w:t>
      </w:r>
      <w:proofErr w:type="gramEnd"/>
      <w:r w:rsidR="00733857">
        <w:rPr>
          <w:rFonts w:ascii="Times New Roman" w:eastAsia="Century Gothic" w:hAnsi="Times New Roman" w:cs="Times New Roman"/>
          <w:sz w:val="24"/>
          <w:szCs w:val="24"/>
          <w:highlight w:val="white"/>
        </w:rPr>
        <w:t xml:space="preserve"> de 2025 y Acta No. 50 de sesión del 27</w:t>
      </w:r>
      <w:r w:rsidRPr="00B94C7A">
        <w:rPr>
          <w:rFonts w:ascii="Times New Roman" w:eastAsia="Century Gothic" w:hAnsi="Times New Roman" w:cs="Times New Roman"/>
          <w:sz w:val="24"/>
          <w:szCs w:val="24"/>
          <w:highlight w:val="white"/>
        </w:rPr>
        <w:t xml:space="preserve"> de </w:t>
      </w:r>
      <w:r w:rsidR="00733857">
        <w:rPr>
          <w:rFonts w:ascii="Times New Roman" w:eastAsia="Century Gothic" w:hAnsi="Times New Roman" w:cs="Times New Roman"/>
          <w:sz w:val="24"/>
          <w:szCs w:val="24"/>
          <w:highlight w:val="white"/>
        </w:rPr>
        <w:t xml:space="preserve">Mayo </w:t>
      </w:r>
      <w:r w:rsidRPr="00B94C7A">
        <w:rPr>
          <w:rFonts w:ascii="Times New Roman" w:eastAsia="Century Gothic" w:hAnsi="Times New Roman" w:cs="Times New Roman"/>
          <w:sz w:val="24"/>
          <w:szCs w:val="24"/>
          <w:highlight w:val="white"/>
        </w:rPr>
        <w:t>de 202</w:t>
      </w:r>
      <w:r w:rsidR="008C5463" w:rsidRPr="00B94C7A">
        <w:rPr>
          <w:rFonts w:ascii="Times New Roman" w:eastAsia="Century Gothic" w:hAnsi="Times New Roman" w:cs="Times New Roman"/>
          <w:sz w:val="24"/>
          <w:szCs w:val="24"/>
          <w:highlight w:val="white"/>
        </w:rPr>
        <w:t>5</w:t>
      </w:r>
      <w:r w:rsidRPr="00B94C7A">
        <w:rPr>
          <w:rFonts w:ascii="Times New Roman" w:eastAsia="Century Gothic" w:hAnsi="Times New Roman" w:cs="Times New Roman"/>
          <w:sz w:val="24"/>
          <w:szCs w:val="24"/>
          <w:highlight w:val="white"/>
        </w:rPr>
        <w:t>. Así mismo</w:t>
      </w:r>
      <w:r w:rsidR="00733857">
        <w:rPr>
          <w:rFonts w:ascii="Times New Roman" w:eastAsia="Century Gothic" w:hAnsi="Times New Roman" w:cs="Times New Roman"/>
          <w:sz w:val="24"/>
          <w:szCs w:val="24"/>
          <w:highlight w:val="white"/>
        </w:rPr>
        <w:t>,</w:t>
      </w:r>
      <w:r w:rsidRPr="00B94C7A">
        <w:rPr>
          <w:rFonts w:ascii="Times New Roman" w:eastAsia="Century Gothic" w:hAnsi="Times New Roman" w:cs="Times New Roman"/>
          <w:sz w:val="24"/>
          <w:szCs w:val="24"/>
          <w:highlight w:val="white"/>
        </w:rPr>
        <w:t xml:space="preserve"> fue anunciado entre otras fechas el día </w:t>
      </w:r>
      <w:r w:rsidR="00733857">
        <w:rPr>
          <w:rFonts w:ascii="Times New Roman" w:eastAsia="Century Gothic" w:hAnsi="Times New Roman" w:cs="Times New Roman"/>
          <w:sz w:val="24"/>
          <w:szCs w:val="24"/>
          <w:highlight w:val="white"/>
        </w:rPr>
        <w:t xml:space="preserve">20 de </w:t>
      </w:r>
      <w:proofErr w:type="gramStart"/>
      <w:r w:rsidR="00733857">
        <w:rPr>
          <w:rFonts w:ascii="Times New Roman" w:eastAsia="Century Gothic" w:hAnsi="Times New Roman" w:cs="Times New Roman"/>
          <w:sz w:val="24"/>
          <w:szCs w:val="24"/>
          <w:highlight w:val="white"/>
        </w:rPr>
        <w:t>Mayo</w:t>
      </w:r>
      <w:proofErr w:type="gramEnd"/>
      <w:r w:rsidR="00733857">
        <w:rPr>
          <w:rFonts w:ascii="Times New Roman" w:eastAsia="Century Gothic" w:hAnsi="Times New Roman" w:cs="Times New Roman"/>
          <w:sz w:val="24"/>
          <w:szCs w:val="24"/>
          <w:highlight w:val="white"/>
        </w:rPr>
        <w:t xml:space="preserve"> de 2025, según consta en Acta No. 48 de sesión de la misma fecha y el 26 de Mayo de 2025</w:t>
      </w:r>
      <w:r w:rsidRPr="00B94C7A">
        <w:rPr>
          <w:rFonts w:ascii="Times New Roman" w:eastAsia="Century Gothic" w:hAnsi="Times New Roman" w:cs="Times New Roman"/>
          <w:sz w:val="24"/>
          <w:szCs w:val="24"/>
          <w:highlight w:val="white"/>
        </w:rPr>
        <w:t xml:space="preserve">, según consta en el Acta </w:t>
      </w:r>
      <w:r w:rsidR="00733857">
        <w:rPr>
          <w:rFonts w:ascii="Times New Roman" w:eastAsia="Century Gothic" w:hAnsi="Times New Roman" w:cs="Times New Roman"/>
          <w:sz w:val="24"/>
          <w:szCs w:val="24"/>
          <w:highlight w:val="white"/>
        </w:rPr>
        <w:t>49</w:t>
      </w:r>
      <w:r w:rsidRPr="00B94C7A">
        <w:rPr>
          <w:rFonts w:ascii="Times New Roman" w:eastAsia="Century Gothic" w:hAnsi="Times New Roman" w:cs="Times New Roman"/>
          <w:sz w:val="24"/>
          <w:szCs w:val="24"/>
          <w:highlight w:val="white"/>
        </w:rPr>
        <w:t xml:space="preserve"> de Sesión de esa misma fecha.</w:t>
      </w:r>
    </w:p>
    <w:p w:rsidR="00E90D44" w:rsidRDefault="00E90D44" w:rsidP="00C7658D">
      <w:pPr>
        <w:tabs>
          <w:tab w:val="left" w:pos="4678"/>
          <w:tab w:val="left" w:pos="5103"/>
        </w:tabs>
        <w:spacing w:after="0" w:line="240" w:lineRule="auto"/>
        <w:rPr>
          <w:rFonts w:ascii="Times New Roman" w:eastAsia="Century Gothic" w:hAnsi="Times New Roman" w:cs="Times New Roman"/>
          <w:b/>
          <w:sz w:val="24"/>
          <w:szCs w:val="24"/>
          <w:highlight w:val="white"/>
        </w:rPr>
      </w:pPr>
    </w:p>
    <w:p w:rsidR="00AD0404" w:rsidRPr="00B94C7A" w:rsidRDefault="00AD0404" w:rsidP="00C7658D">
      <w:pPr>
        <w:tabs>
          <w:tab w:val="left" w:pos="4678"/>
          <w:tab w:val="left" w:pos="5103"/>
        </w:tabs>
        <w:spacing w:after="0" w:line="240" w:lineRule="auto"/>
        <w:rPr>
          <w:rFonts w:ascii="Times New Roman" w:eastAsia="Century Gothic" w:hAnsi="Times New Roman" w:cs="Times New Roman"/>
          <w:b/>
          <w:sz w:val="24"/>
          <w:szCs w:val="24"/>
          <w:highlight w:val="white"/>
        </w:rPr>
      </w:pPr>
    </w:p>
    <w:p w:rsidR="008C5463" w:rsidRPr="00B94C7A" w:rsidRDefault="008C5463" w:rsidP="00C7658D">
      <w:pPr>
        <w:tabs>
          <w:tab w:val="left" w:pos="4678"/>
          <w:tab w:val="left" w:pos="5103"/>
        </w:tabs>
        <w:spacing w:after="0" w:line="240" w:lineRule="auto"/>
        <w:rPr>
          <w:rFonts w:ascii="Times New Roman" w:eastAsia="Century Gothic" w:hAnsi="Times New Roman" w:cs="Times New Roman"/>
          <w:b/>
          <w:sz w:val="24"/>
          <w:szCs w:val="24"/>
          <w:highlight w:val="white"/>
        </w:rPr>
      </w:pPr>
    </w:p>
    <w:p w:rsidR="00C7658D" w:rsidRPr="00B94C7A" w:rsidRDefault="00733857" w:rsidP="00C7658D">
      <w:pPr>
        <w:tabs>
          <w:tab w:val="left" w:pos="4678"/>
          <w:tab w:val="left" w:pos="5103"/>
        </w:tabs>
        <w:spacing w:after="0" w:line="240" w:lineRule="auto"/>
        <w:rPr>
          <w:rFonts w:ascii="Times New Roman" w:eastAsia="Century Gothic" w:hAnsi="Times New Roman" w:cs="Times New Roman"/>
          <w:b/>
          <w:sz w:val="24"/>
          <w:szCs w:val="24"/>
          <w:highlight w:val="white"/>
        </w:rPr>
      </w:pPr>
      <w:r>
        <w:rPr>
          <w:rFonts w:ascii="Times New Roman" w:eastAsia="Century Gothic" w:hAnsi="Times New Roman" w:cs="Times New Roman"/>
          <w:b/>
          <w:sz w:val="24"/>
          <w:szCs w:val="24"/>
          <w:highlight w:val="white"/>
        </w:rPr>
        <w:t>GABRIEL BECERRA YÁÑEZ</w:t>
      </w:r>
      <w:r w:rsidR="00FC5293" w:rsidRPr="00B94C7A">
        <w:rPr>
          <w:rFonts w:ascii="Times New Roman" w:eastAsia="Century Gothic" w:hAnsi="Times New Roman" w:cs="Times New Roman"/>
          <w:b/>
          <w:sz w:val="24"/>
          <w:szCs w:val="24"/>
          <w:highlight w:val="white"/>
        </w:rPr>
        <w:tab/>
      </w:r>
      <w:r w:rsidR="00C7658D" w:rsidRPr="00B94C7A">
        <w:rPr>
          <w:rFonts w:ascii="Times New Roman" w:eastAsia="Century Gothic" w:hAnsi="Times New Roman" w:cs="Times New Roman"/>
          <w:b/>
          <w:sz w:val="24"/>
          <w:szCs w:val="24"/>
          <w:highlight w:val="white"/>
        </w:rPr>
        <w:t>ANA PAOLA GARCÍA SOTO</w:t>
      </w:r>
    </w:p>
    <w:p w:rsidR="00C7658D" w:rsidRPr="00B94C7A" w:rsidRDefault="00C7658D" w:rsidP="00C7658D">
      <w:pPr>
        <w:tabs>
          <w:tab w:val="left" w:pos="4678"/>
          <w:tab w:val="left" w:pos="5103"/>
        </w:tabs>
        <w:spacing w:after="0" w:line="240" w:lineRule="auto"/>
        <w:rPr>
          <w:rFonts w:ascii="Times New Roman" w:eastAsia="Century Gothic" w:hAnsi="Times New Roman" w:cs="Times New Roman"/>
          <w:sz w:val="24"/>
          <w:szCs w:val="24"/>
          <w:highlight w:val="white"/>
        </w:rPr>
      </w:pPr>
      <w:r w:rsidRPr="00B94C7A">
        <w:rPr>
          <w:rFonts w:ascii="Times New Roman" w:eastAsia="Century Gothic" w:hAnsi="Times New Roman" w:cs="Times New Roman"/>
          <w:sz w:val="24"/>
          <w:szCs w:val="24"/>
          <w:highlight w:val="white"/>
        </w:rPr>
        <w:t>Ponente Único</w:t>
      </w:r>
      <w:r w:rsidRPr="00B94C7A">
        <w:rPr>
          <w:rFonts w:ascii="Times New Roman" w:eastAsia="Century Gothic" w:hAnsi="Times New Roman" w:cs="Times New Roman"/>
          <w:sz w:val="24"/>
          <w:szCs w:val="24"/>
          <w:highlight w:val="white"/>
        </w:rPr>
        <w:tab/>
        <w:t xml:space="preserve">Presidenta </w:t>
      </w:r>
    </w:p>
    <w:p w:rsidR="00F418EE" w:rsidRPr="00B94C7A" w:rsidRDefault="00F418EE" w:rsidP="00C7658D">
      <w:pPr>
        <w:tabs>
          <w:tab w:val="left" w:pos="4820"/>
          <w:tab w:val="left" w:pos="5103"/>
        </w:tabs>
        <w:spacing w:after="0" w:line="240" w:lineRule="auto"/>
        <w:jc w:val="center"/>
        <w:rPr>
          <w:rFonts w:ascii="Times New Roman" w:eastAsia="Century Gothic" w:hAnsi="Times New Roman" w:cs="Times New Roman"/>
          <w:sz w:val="24"/>
          <w:szCs w:val="24"/>
          <w:highlight w:val="white"/>
        </w:rPr>
      </w:pPr>
    </w:p>
    <w:p w:rsidR="005D72A9" w:rsidRDefault="005D72A9" w:rsidP="00C7658D">
      <w:pPr>
        <w:tabs>
          <w:tab w:val="left" w:pos="4820"/>
          <w:tab w:val="left" w:pos="5103"/>
        </w:tabs>
        <w:spacing w:after="0" w:line="240" w:lineRule="auto"/>
        <w:jc w:val="center"/>
        <w:rPr>
          <w:rFonts w:ascii="Times New Roman" w:eastAsia="Century Gothic" w:hAnsi="Times New Roman" w:cs="Times New Roman"/>
          <w:sz w:val="24"/>
          <w:szCs w:val="24"/>
          <w:highlight w:val="white"/>
        </w:rPr>
      </w:pPr>
    </w:p>
    <w:p w:rsidR="00AD0404" w:rsidRPr="00B94C7A" w:rsidRDefault="00AD0404" w:rsidP="00C7658D">
      <w:pPr>
        <w:tabs>
          <w:tab w:val="left" w:pos="4820"/>
          <w:tab w:val="left" w:pos="5103"/>
        </w:tabs>
        <w:spacing w:after="0" w:line="240" w:lineRule="auto"/>
        <w:jc w:val="center"/>
        <w:rPr>
          <w:rFonts w:ascii="Times New Roman" w:eastAsia="Century Gothic" w:hAnsi="Times New Roman" w:cs="Times New Roman"/>
          <w:sz w:val="24"/>
          <w:szCs w:val="24"/>
          <w:highlight w:val="white"/>
        </w:rPr>
      </w:pPr>
    </w:p>
    <w:p w:rsidR="00C7658D" w:rsidRPr="00B94C7A" w:rsidRDefault="00C7658D" w:rsidP="00C7658D">
      <w:pPr>
        <w:tabs>
          <w:tab w:val="left" w:pos="4678"/>
          <w:tab w:val="left" w:pos="5103"/>
        </w:tabs>
        <w:spacing w:after="0" w:line="240" w:lineRule="auto"/>
        <w:ind w:left="426"/>
        <w:rPr>
          <w:rFonts w:ascii="Times New Roman" w:eastAsia="Century Gothic" w:hAnsi="Times New Roman" w:cs="Times New Roman"/>
          <w:b/>
          <w:sz w:val="24"/>
          <w:szCs w:val="24"/>
        </w:rPr>
      </w:pPr>
      <w:r w:rsidRPr="00B94C7A">
        <w:rPr>
          <w:rFonts w:ascii="Times New Roman" w:eastAsia="Century Gothic" w:hAnsi="Times New Roman" w:cs="Times New Roman"/>
          <w:b/>
          <w:sz w:val="24"/>
          <w:szCs w:val="24"/>
        </w:rPr>
        <w:t xml:space="preserve">                          AMPARO YANETH CALDERON PERDOMO</w:t>
      </w:r>
    </w:p>
    <w:p w:rsidR="008C485F" w:rsidRPr="00B94C7A" w:rsidRDefault="00C7658D" w:rsidP="00F418EE">
      <w:pPr>
        <w:tabs>
          <w:tab w:val="left" w:pos="4678"/>
          <w:tab w:val="left" w:pos="5103"/>
        </w:tabs>
        <w:spacing w:after="0" w:line="240" w:lineRule="auto"/>
        <w:ind w:left="426"/>
        <w:rPr>
          <w:rFonts w:ascii="Times New Roman" w:eastAsia="Arial Narrow" w:hAnsi="Times New Roman" w:cs="Times New Roman"/>
          <w:color w:val="000000"/>
          <w:sz w:val="24"/>
          <w:szCs w:val="24"/>
        </w:rPr>
      </w:pPr>
      <w:r w:rsidRPr="00B94C7A">
        <w:rPr>
          <w:rFonts w:ascii="Times New Roman" w:eastAsia="Century Gothic" w:hAnsi="Times New Roman" w:cs="Times New Roman"/>
          <w:sz w:val="24"/>
          <w:szCs w:val="24"/>
          <w:highlight w:val="white"/>
        </w:rPr>
        <w:t xml:space="preserve">                                                    Secretaria</w:t>
      </w:r>
    </w:p>
    <w:sectPr w:rsidR="008C485F" w:rsidRPr="00B94C7A"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2E" w:rsidRDefault="00D6622E" w:rsidP="002B77F9">
      <w:pPr>
        <w:spacing w:after="0" w:line="240" w:lineRule="auto"/>
      </w:pPr>
      <w:r>
        <w:separator/>
      </w:r>
    </w:p>
  </w:endnote>
  <w:endnote w:type="continuationSeparator" w:id="0">
    <w:p w:rsidR="00D6622E" w:rsidRDefault="00D6622E"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Times New Roman"/>
    <w:charset w:val="00"/>
    <w:family w:val="auto"/>
    <w:pitch w:val="variable"/>
    <w:sig w:usb0="A00000FF" w:usb1="5000E07B" w:usb2="00000000" w:usb3="00000000" w:csb0="00000193"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336CE" w:rsidRPr="00F31B05" w:rsidRDefault="00C336CE"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336CE" w:rsidRPr="00CA7BFC" w:rsidRDefault="00C336CE"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336CE" w:rsidRDefault="00C336CE"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2E" w:rsidRDefault="00D6622E" w:rsidP="002B77F9">
      <w:pPr>
        <w:spacing w:after="0" w:line="240" w:lineRule="auto"/>
      </w:pPr>
      <w:r>
        <w:separator/>
      </w:r>
    </w:p>
  </w:footnote>
  <w:footnote w:type="continuationSeparator" w:id="0">
    <w:p w:rsidR="00D6622E" w:rsidRDefault="00D6622E"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6CE" w:rsidRDefault="00D6622E" w:rsidP="00C72FDB">
    <w:pPr>
      <w:pStyle w:val="Encabezado"/>
      <w:jc w:val="center"/>
    </w:pPr>
    <w:sdt>
      <w:sdtPr>
        <w:id w:val="1036773030"/>
        <w:docPartObj>
          <w:docPartGallery w:val="Page Numbers (Margins)"/>
          <w:docPartUnique/>
        </w:docPartObj>
      </w:sdtPr>
      <w:sdtEndPr/>
      <w:sdtContent>
        <w:r w:rsidR="00C336CE">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6CE" w:rsidRDefault="00C336CE">
                              <w:pPr>
                                <w:pBdr>
                                  <w:bottom w:val="single" w:sz="4" w:space="1" w:color="auto"/>
                                </w:pBdr>
                              </w:pPr>
                              <w:r>
                                <w:fldChar w:fldCharType="begin"/>
                              </w:r>
                              <w:r>
                                <w:instrText>PAGE   \* MERGEFORMAT</w:instrText>
                              </w:r>
                              <w:r>
                                <w:fldChar w:fldCharType="separate"/>
                              </w:r>
                              <w:r w:rsidR="00D64196" w:rsidRPr="00D64196">
                                <w:rPr>
                                  <w:noProof/>
                                  <w:lang w:val="es-ES"/>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C336CE" w:rsidRDefault="00C336CE">
                        <w:pPr>
                          <w:pBdr>
                            <w:bottom w:val="single" w:sz="4" w:space="1" w:color="auto"/>
                          </w:pBdr>
                        </w:pPr>
                        <w:r>
                          <w:fldChar w:fldCharType="begin"/>
                        </w:r>
                        <w:r>
                          <w:instrText>PAGE   \* MERGEFORMAT</w:instrText>
                        </w:r>
                        <w:r>
                          <w:fldChar w:fldCharType="separate"/>
                        </w:r>
                        <w:r w:rsidR="00D64196" w:rsidRPr="00D64196">
                          <w:rPr>
                            <w:noProof/>
                            <w:lang w:val="es-ES"/>
                          </w:rPr>
                          <w:t>3</w:t>
                        </w:r>
                        <w:r>
                          <w:fldChar w:fldCharType="end"/>
                        </w:r>
                      </w:p>
                    </w:txbxContent>
                  </v:textbox>
                  <w10:wrap anchorx="margin" anchory="margin"/>
                </v:rect>
              </w:pict>
            </mc:Fallback>
          </mc:AlternateContent>
        </w:r>
      </w:sdtContent>
    </w:sdt>
    <w:r w:rsidR="00C336CE">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336CE" w:rsidRDefault="00C336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4D75B4"/>
    <w:multiLevelType w:val="multilevel"/>
    <w:tmpl w:val="73760742"/>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70BAF"/>
    <w:multiLevelType w:val="hybridMultilevel"/>
    <w:tmpl w:val="A4AA82EC"/>
    <w:lvl w:ilvl="0" w:tplc="0374C610">
      <w:start w:val="1"/>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3"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4"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9"/>
  </w:num>
  <w:num w:numId="3">
    <w:abstractNumId w:val="12"/>
  </w:num>
  <w:num w:numId="4">
    <w:abstractNumId w:val="1"/>
  </w:num>
  <w:num w:numId="5">
    <w:abstractNumId w:val="2"/>
  </w:num>
  <w:num w:numId="6">
    <w:abstractNumId w:val="8"/>
  </w:num>
  <w:num w:numId="7">
    <w:abstractNumId w:val="0"/>
  </w:num>
  <w:num w:numId="8">
    <w:abstractNumId w:val="17"/>
  </w:num>
  <w:num w:numId="9">
    <w:abstractNumId w:val="10"/>
  </w:num>
  <w:num w:numId="10">
    <w:abstractNumId w:val="13"/>
  </w:num>
  <w:num w:numId="11">
    <w:abstractNumId w:val="26"/>
  </w:num>
  <w:num w:numId="12">
    <w:abstractNumId w:val="20"/>
  </w:num>
  <w:num w:numId="13">
    <w:abstractNumId w:val="25"/>
  </w:num>
  <w:num w:numId="14">
    <w:abstractNumId w:val="18"/>
  </w:num>
  <w:num w:numId="15">
    <w:abstractNumId w:val="16"/>
  </w:num>
  <w:num w:numId="16">
    <w:abstractNumId w:val="22"/>
  </w:num>
  <w:num w:numId="17">
    <w:abstractNumId w:val="15"/>
  </w:num>
  <w:num w:numId="18">
    <w:abstractNumId w:val="3"/>
  </w:num>
  <w:num w:numId="19">
    <w:abstractNumId w:val="6"/>
  </w:num>
  <w:num w:numId="20">
    <w:abstractNumId w:val="23"/>
  </w:num>
  <w:num w:numId="21">
    <w:abstractNumId w:val="21"/>
  </w:num>
  <w:num w:numId="22">
    <w:abstractNumId w:val="19"/>
  </w:num>
  <w:num w:numId="23">
    <w:abstractNumId w:val="14"/>
  </w:num>
  <w:num w:numId="24">
    <w:abstractNumId w:val="24"/>
  </w:num>
  <w:num w:numId="25">
    <w:abstractNumId w:val="11"/>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37B20"/>
    <w:rsid w:val="00060965"/>
    <w:rsid w:val="00071BE2"/>
    <w:rsid w:val="00072389"/>
    <w:rsid w:val="000B2703"/>
    <w:rsid w:val="000B431C"/>
    <w:rsid w:val="000E403F"/>
    <w:rsid w:val="001066C3"/>
    <w:rsid w:val="0019687F"/>
    <w:rsid w:val="001A730E"/>
    <w:rsid w:val="001B59F5"/>
    <w:rsid w:val="001C02DA"/>
    <w:rsid w:val="001D46E7"/>
    <w:rsid w:val="001F1108"/>
    <w:rsid w:val="001F4B8D"/>
    <w:rsid w:val="00205249"/>
    <w:rsid w:val="002227A1"/>
    <w:rsid w:val="00234747"/>
    <w:rsid w:val="00234FE5"/>
    <w:rsid w:val="002502B4"/>
    <w:rsid w:val="00255D5C"/>
    <w:rsid w:val="00260D6F"/>
    <w:rsid w:val="002743DF"/>
    <w:rsid w:val="00286D4E"/>
    <w:rsid w:val="002A00E2"/>
    <w:rsid w:val="002A3EA0"/>
    <w:rsid w:val="002A7CF1"/>
    <w:rsid w:val="002B541B"/>
    <w:rsid w:val="002B6AF6"/>
    <w:rsid w:val="002B77F9"/>
    <w:rsid w:val="002D7DBF"/>
    <w:rsid w:val="002E25CA"/>
    <w:rsid w:val="002F02B3"/>
    <w:rsid w:val="002F539C"/>
    <w:rsid w:val="00301F2B"/>
    <w:rsid w:val="0030575F"/>
    <w:rsid w:val="003123C0"/>
    <w:rsid w:val="00321326"/>
    <w:rsid w:val="00335045"/>
    <w:rsid w:val="00342B29"/>
    <w:rsid w:val="00355892"/>
    <w:rsid w:val="003604D0"/>
    <w:rsid w:val="00376F05"/>
    <w:rsid w:val="003873C2"/>
    <w:rsid w:val="00387BD8"/>
    <w:rsid w:val="00393CA3"/>
    <w:rsid w:val="00394EAC"/>
    <w:rsid w:val="003A5CBB"/>
    <w:rsid w:val="003B0401"/>
    <w:rsid w:val="003B6004"/>
    <w:rsid w:val="003C4239"/>
    <w:rsid w:val="003C754E"/>
    <w:rsid w:val="003F126E"/>
    <w:rsid w:val="003F5C5D"/>
    <w:rsid w:val="003F7B98"/>
    <w:rsid w:val="003F7F52"/>
    <w:rsid w:val="0043525D"/>
    <w:rsid w:val="00436F33"/>
    <w:rsid w:val="00463B62"/>
    <w:rsid w:val="00464F6C"/>
    <w:rsid w:val="00485F9F"/>
    <w:rsid w:val="0049097B"/>
    <w:rsid w:val="004C0174"/>
    <w:rsid w:val="004C05B3"/>
    <w:rsid w:val="004C57E9"/>
    <w:rsid w:val="004C5D69"/>
    <w:rsid w:val="004D4AE0"/>
    <w:rsid w:val="004D759E"/>
    <w:rsid w:val="00511ED4"/>
    <w:rsid w:val="00514173"/>
    <w:rsid w:val="00520C0E"/>
    <w:rsid w:val="00531BD8"/>
    <w:rsid w:val="0054460A"/>
    <w:rsid w:val="00546013"/>
    <w:rsid w:val="0054784F"/>
    <w:rsid w:val="00554A09"/>
    <w:rsid w:val="005648D5"/>
    <w:rsid w:val="00566713"/>
    <w:rsid w:val="0057315F"/>
    <w:rsid w:val="00592B55"/>
    <w:rsid w:val="005A2CA1"/>
    <w:rsid w:val="005B4CE4"/>
    <w:rsid w:val="005C604F"/>
    <w:rsid w:val="005C77D7"/>
    <w:rsid w:val="005D4583"/>
    <w:rsid w:val="005D4CF6"/>
    <w:rsid w:val="005D72A9"/>
    <w:rsid w:val="005E17D9"/>
    <w:rsid w:val="00605B5E"/>
    <w:rsid w:val="00615662"/>
    <w:rsid w:val="006263B1"/>
    <w:rsid w:val="00651F09"/>
    <w:rsid w:val="00657E26"/>
    <w:rsid w:val="00666067"/>
    <w:rsid w:val="006842AA"/>
    <w:rsid w:val="006A6080"/>
    <w:rsid w:val="006C2025"/>
    <w:rsid w:val="006F5535"/>
    <w:rsid w:val="007118F9"/>
    <w:rsid w:val="00733857"/>
    <w:rsid w:val="00741F4B"/>
    <w:rsid w:val="007523F7"/>
    <w:rsid w:val="00767102"/>
    <w:rsid w:val="00770A1E"/>
    <w:rsid w:val="00784634"/>
    <w:rsid w:val="00791199"/>
    <w:rsid w:val="007A27BF"/>
    <w:rsid w:val="007A64EA"/>
    <w:rsid w:val="007C1176"/>
    <w:rsid w:val="007C791A"/>
    <w:rsid w:val="007D2B23"/>
    <w:rsid w:val="007F02A1"/>
    <w:rsid w:val="008008AB"/>
    <w:rsid w:val="0081409F"/>
    <w:rsid w:val="00820746"/>
    <w:rsid w:val="00820AC5"/>
    <w:rsid w:val="008214EF"/>
    <w:rsid w:val="0083563E"/>
    <w:rsid w:val="008356FB"/>
    <w:rsid w:val="00836D1A"/>
    <w:rsid w:val="00864666"/>
    <w:rsid w:val="00864E81"/>
    <w:rsid w:val="00880FB9"/>
    <w:rsid w:val="008948A9"/>
    <w:rsid w:val="008C0270"/>
    <w:rsid w:val="008C485F"/>
    <w:rsid w:val="008C4F3D"/>
    <w:rsid w:val="008C5463"/>
    <w:rsid w:val="008C5C63"/>
    <w:rsid w:val="008D5251"/>
    <w:rsid w:val="008D602F"/>
    <w:rsid w:val="008D78C3"/>
    <w:rsid w:val="008F3182"/>
    <w:rsid w:val="009230CE"/>
    <w:rsid w:val="00923E69"/>
    <w:rsid w:val="00930B4E"/>
    <w:rsid w:val="0093261F"/>
    <w:rsid w:val="009338BD"/>
    <w:rsid w:val="00971B33"/>
    <w:rsid w:val="00980BCD"/>
    <w:rsid w:val="00986396"/>
    <w:rsid w:val="009927DB"/>
    <w:rsid w:val="00993253"/>
    <w:rsid w:val="0099350E"/>
    <w:rsid w:val="00993DA6"/>
    <w:rsid w:val="009A138B"/>
    <w:rsid w:val="009A58FC"/>
    <w:rsid w:val="009B2DD3"/>
    <w:rsid w:val="009B67AC"/>
    <w:rsid w:val="009C12A5"/>
    <w:rsid w:val="009F5598"/>
    <w:rsid w:val="00A25E23"/>
    <w:rsid w:val="00A43CC7"/>
    <w:rsid w:val="00A45EAE"/>
    <w:rsid w:val="00A46D79"/>
    <w:rsid w:val="00A75B7B"/>
    <w:rsid w:val="00A75CDA"/>
    <w:rsid w:val="00A872C8"/>
    <w:rsid w:val="00A952CD"/>
    <w:rsid w:val="00A95D13"/>
    <w:rsid w:val="00AB14CD"/>
    <w:rsid w:val="00AD0404"/>
    <w:rsid w:val="00AD3B2D"/>
    <w:rsid w:val="00AE692D"/>
    <w:rsid w:val="00AF36DE"/>
    <w:rsid w:val="00AF7024"/>
    <w:rsid w:val="00AF764F"/>
    <w:rsid w:val="00B01CAB"/>
    <w:rsid w:val="00B17EFD"/>
    <w:rsid w:val="00B445A7"/>
    <w:rsid w:val="00B45F28"/>
    <w:rsid w:val="00B60DFC"/>
    <w:rsid w:val="00B94C7A"/>
    <w:rsid w:val="00BB52F2"/>
    <w:rsid w:val="00BC47DE"/>
    <w:rsid w:val="00BD4141"/>
    <w:rsid w:val="00BD5A9F"/>
    <w:rsid w:val="00BF6F6B"/>
    <w:rsid w:val="00C0765C"/>
    <w:rsid w:val="00C3000E"/>
    <w:rsid w:val="00C336CE"/>
    <w:rsid w:val="00C41881"/>
    <w:rsid w:val="00C421C4"/>
    <w:rsid w:val="00C5586A"/>
    <w:rsid w:val="00C72FDB"/>
    <w:rsid w:val="00C74091"/>
    <w:rsid w:val="00C7658D"/>
    <w:rsid w:val="00C81DC9"/>
    <w:rsid w:val="00C90D70"/>
    <w:rsid w:val="00C91D4B"/>
    <w:rsid w:val="00CA1400"/>
    <w:rsid w:val="00CF4523"/>
    <w:rsid w:val="00CF6F6C"/>
    <w:rsid w:val="00D012A0"/>
    <w:rsid w:val="00D02F4A"/>
    <w:rsid w:val="00D06595"/>
    <w:rsid w:val="00D25E1A"/>
    <w:rsid w:val="00D33605"/>
    <w:rsid w:val="00D33DBE"/>
    <w:rsid w:val="00D365ED"/>
    <w:rsid w:val="00D42340"/>
    <w:rsid w:val="00D5459D"/>
    <w:rsid w:val="00D64196"/>
    <w:rsid w:val="00D6622E"/>
    <w:rsid w:val="00D70EAA"/>
    <w:rsid w:val="00D87E48"/>
    <w:rsid w:val="00D911EB"/>
    <w:rsid w:val="00D9613D"/>
    <w:rsid w:val="00DB30E5"/>
    <w:rsid w:val="00DC15B5"/>
    <w:rsid w:val="00DC757E"/>
    <w:rsid w:val="00DE5B04"/>
    <w:rsid w:val="00DF01CA"/>
    <w:rsid w:val="00DF1873"/>
    <w:rsid w:val="00DF48FD"/>
    <w:rsid w:val="00DF514E"/>
    <w:rsid w:val="00E00980"/>
    <w:rsid w:val="00E0796D"/>
    <w:rsid w:val="00E20DB4"/>
    <w:rsid w:val="00E2117A"/>
    <w:rsid w:val="00E31547"/>
    <w:rsid w:val="00E35FD6"/>
    <w:rsid w:val="00E50203"/>
    <w:rsid w:val="00E56423"/>
    <w:rsid w:val="00E61EC5"/>
    <w:rsid w:val="00E66A69"/>
    <w:rsid w:val="00E7734E"/>
    <w:rsid w:val="00E81991"/>
    <w:rsid w:val="00E90D44"/>
    <w:rsid w:val="00E97AA7"/>
    <w:rsid w:val="00EC557F"/>
    <w:rsid w:val="00ED1DD7"/>
    <w:rsid w:val="00F003FA"/>
    <w:rsid w:val="00F076AA"/>
    <w:rsid w:val="00F1201D"/>
    <w:rsid w:val="00F13684"/>
    <w:rsid w:val="00F20DA4"/>
    <w:rsid w:val="00F22E0C"/>
    <w:rsid w:val="00F27207"/>
    <w:rsid w:val="00F3400C"/>
    <w:rsid w:val="00F418EE"/>
    <w:rsid w:val="00F43BBF"/>
    <w:rsid w:val="00F5565A"/>
    <w:rsid w:val="00F82B12"/>
    <w:rsid w:val="00FA7F82"/>
    <w:rsid w:val="00FB07C2"/>
    <w:rsid w:val="00FC0521"/>
    <w:rsid w:val="00FC5293"/>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0925"/>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Sinespaciado">
    <w:name w:val="No Spacing"/>
    <w:link w:val="SinespaciadoCar"/>
    <w:uiPriority w:val="1"/>
    <w:qFormat/>
    <w:rsid w:val="008D602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8D602F"/>
    <w:rPr>
      <w:rFonts w:ascii="Calibri" w:eastAsia="Calibri" w:hAnsi="Calibri" w:cs="Times New Roman"/>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8D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1FDC-5C48-42D4-B857-527CFDBE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12</cp:revision>
  <cp:lastPrinted>2025-05-29T16:38:00Z</cp:lastPrinted>
  <dcterms:created xsi:type="dcterms:W3CDTF">2025-05-29T14:18:00Z</dcterms:created>
  <dcterms:modified xsi:type="dcterms:W3CDTF">2025-05-29T17:13:00Z</dcterms:modified>
</cp:coreProperties>
</file>